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BA" w:rsidRPr="004B33DF" w:rsidRDefault="003522BA" w:rsidP="009367B4">
      <w:pPr>
        <w:pStyle w:val="BodyText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>WYKAZ</w:t>
      </w:r>
    </w:p>
    <w:p w:rsidR="003522BA" w:rsidRDefault="003522BA" w:rsidP="009367B4">
      <w:pPr>
        <w:pStyle w:val="BodyText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>NIERUCHOMOŚCI  STANOWIĄCEJ  WŁASNOŚĆ  SKARBU  PAŃSTWA  PRZEZNACZONEJ  DO  SPRZEDAŻY</w:t>
      </w:r>
    </w:p>
    <w:p w:rsidR="003522BA" w:rsidRPr="004B33DF" w:rsidRDefault="003522BA" w:rsidP="009367B4">
      <w:pPr>
        <w:pStyle w:val="BodyText2"/>
        <w:jc w:val="center"/>
        <w:rPr>
          <w:b/>
          <w:bCs/>
          <w:sz w:val="20"/>
          <w:szCs w:val="20"/>
        </w:rPr>
      </w:pPr>
      <w:r w:rsidRPr="004B33DF">
        <w:rPr>
          <w:sz w:val="20"/>
          <w:szCs w:val="20"/>
        </w:rPr>
        <w:t xml:space="preserve">Sporządzony na podstawie art. 35 ust. 1 i 2 ustawy z dnia 21 sierpnia 1997 r. o gospodarce nieruchomościami (t.j. Dz. U. z 2016 r., poz. 2147.), Zarządzenia Wojewody Lubuskiego z dnia 14 listopada 2016 r. w sprawie wyrażenia zgody na zbycie z zasobu nieruchomości Skarbu Państwa, położonej w obrębie Gościmiec, </w:t>
      </w:r>
      <w:r>
        <w:rPr>
          <w:sz w:val="20"/>
          <w:szCs w:val="20"/>
        </w:rPr>
        <w:t>g</w:t>
      </w:r>
      <w:r w:rsidRPr="004B33DF">
        <w:rPr>
          <w:sz w:val="20"/>
          <w:szCs w:val="20"/>
        </w:rPr>
        <w:t>m. Zwierzyn, oznaczonej numerem działki 522/6.</w:t>
      </w:r>
    </w:p>
    <w:p w:rsidR="003522BA" w:rsidRPr="004B33DF" w:rsidRDefault="003522BA" w:rsidP="009367B4">
      <w:pPr>
        <w:pStyle w:val="BodyText2"/>
        <w:jc w:val="both"/>
        <w:rPr>
          <w:sz w:val="20"/>
          <w:szCs w:val="20"/>
        </w:rPr>
      </w:pPr>
    </w:p>
    <w:tbl>
      <w:tblPr>
        <w:tblW w:w="147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1"/>
        <w:gridCol w:w="2825"/>
        <w:gridCol w:w="12"/>
        <w:gridCol w:w="1547"/>
        <w:gridCol w:w="2856"/>
        <w:gridCol w:w="3202"/>
        <w:gridCol w:w="1640"/>
        <w:gridCol w:w="2066"/>
      </w:tblGrid>
      <w:tr w:rsidR="003522BA" w:rsidTr="00C257CA">
        <w:trPr>
          <w:cantSplit/>
          <w:trHeight w:val="834"/>
        </w:trPr>
        <w:tc>
          <w:tcPr>
            <w:tcW w:w="561" w:type="dxa"/>
          </w:tcPr>
          <w:p w:rsidR="003522BA" w:rsidRPr="00001938" w:rsidRDefault="003522BA" w:rsidP="007F0152">
            <w:pPr>
              <w:pStyle w:val="BodyText2"/>
              <w:spacing w:line="276" w:lineRule="auto"/>
              <w:jc w:val="both"/>
            </w:pPr>
            <w:r w:rsidRPr="00001938">
              <w:rPr>
                <w:b/>
                <w:bCs/>
                <w:szCs w:val="22"/>
              </w:rPr>
              <w:t>Lp</w:t>
            </w:r>
            <w:r w:rsidRPr="00001938">
              <w:rPr>
                <w:szCs w:val="22"/>
              </w:rPr>
              <w:t>.</w:t>
            </w:r>
          </w:p>
        </w:tc>
        <w:tc>
          <w:tcPr>
            <w:tcW w:w="2837" w:type="dxa"/>
            <w:gridSpan w:val="2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Oznaczenie nieruchomości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wg. księgi wieczystej oraz katastru nieruchomości</w:t>
            </w:r>
          </w:p>
        </w:tc>
        <w:tc>
          <w:tcPr>
            <w:tcW w:w="1547" w:type="dxa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</w:t>
            </w:r>
            <w:r w:rsidRPr="00001938">
              <w:rPr>
                <w:b/>
                <w:bCs/>
                <w:szCs w:val="22"/>
              </w:rPr>
              <w:t xml:space="preserve"> Pow.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2856" w:type="dxa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          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</w:t>
            </w:r>
            <w:r w:rsidRPr="00001938">
              <w:rPr>
                <w:b/>
                <w:bCs/>
                <w:szCs w:val="22"/>
              </w:rPr>
              <w:t>Opis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202" w:type="dxa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</w:p>
          <w:p w:rsidR="003522BA" w:rsidRPr="00001938" w:rsidRDefault="003522BA" w:rsidP="004B33DF">
            <w:pPr>
              <w:pStyle w:val="BodyText2"/>
              <w:spacing w:line="276" w:lineRule="auto"/>
              <w:jc w:val="center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640" w:type="dxa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</w:t>
            </w:r>
            <w:r w:rsidRPr="00001938">
              <w:rPr>
                <w:b/>
                <w:bCs/>
                <w:szCs w:val="22"/>
              </w:rPr>
              <w:t>Cena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nieruchomości                       </w:t>
            </w:r>
          </w:p>
        </w:tc>
        <w:tc>
          <w:tcPr>
            <w:tcW w:w="2066" w:type="dxa"/>
          </w:tcPr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Przeznaczenie </w:t>
            </w:r>
          </w:p>
          <w:p w:rsidR="003522BA" w:rsidRPr="00001938" w:rsidRDefault="003522BA" w:rsidP="00001938">
            <w:pPr>
              <w:pStyle w:val="BodyText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</w:tr>
      <w:tr w:rsidR="003522BA" w:rsidTr="00C257CA">
        <w:trPr>
          <w:cantSplit/>
          <w:trHeight w:val="6007"/>
        </w:trPr>
        <w:tc>
          <w:tcPr>
            <w:tcW w:w="561" w:type="dxa"/>
          </w:tcPr>
          <w:p w:rsidR="003522BA" w:rsidRPr="00001938" w:rsidRDefault="003522BA" w:rsidP="007F0152">
            <w:pPr>
              <w:pStyle w:val="BodyText2"/>
              <w:spacing w:line="276" w:lineRule="auto"/>
              <w:jc w:val="both"/>
            </w:pPr>
            <w:r w:rsidRPr="00001938">
              <w:rPr>
                <w:szCs w:val="22"/>
              </w:rPr>
              <w:t xml:space="preserve"> 1.</w:t>
            </w:r>
          </w:p>
        </w:tc>
        <w:tc>
          <w:tcPr>
            <w:tcW w:w="2825" w:type="dxa"/>
          </w:tcPr>
          <w:p w:rsidR="003522BA" w:rsidRPr="00001938" w:rsidRDefault="003522BA" w:rsidP="007F0152">
            <w:pPr>
              <w:pStyle w:val="BodyText2"/>
              <w:spacing w:line="276" w:lineRule="auto"/>
              <w:jc w:val="both"/>
            </w:pPr>
            <w:r w:rsidRPr="00001938">
              <w:rPr>
                <w:szCs w:val="22"/>
              </w:rPr>
              <w:t>Jednostka ewidencyjna</w:t>
            </w:r>
          </w:p>
          <w:p w:rsidR="003522BA" w:rsidRPr="00001938" w:rsidRDefault="003522BA" w:rsidP="007F0152">
            <w:pPr>
              <w:pStyle w:val="BodyText2"/>
              <w:spacing w:line="276" w:lineRule="auto"/>
              <w:jc w:val="both"/>
              <w:rPr>
                <w:b/>
                <w:bCs/>
              </w:rPr>
            </w:pPr>
            <w:r>
              <w:rPr>
                <w:szCs w:val="22"/>
              </w:rPr>
              <w:t xml:space="preserve">Zwierzyn </w:t>
            </w:r>
            <w:r w:rsidRPr="00001938">
              <w:rPr>
                <w:szCs w:val="22"/>
              </w:rPr>
              <w:t xml:space="preserve">obręb </w:t>
            </w:r>
            <w:r>
              <w:rPr>
                <w:szCs w:val="22"/>
              </w:rPr>
              <w:t xml:space="preserve">Gościmiec, </w:t>
            </w:r>
          </w:p>
          <w:p w:rsidR="003522BA" w:rsidRPr="00001938" w:rsidRDefault="003522BA" w:rsidP="007F0152">
            <w:pPr>
              <w:pStyle w:val="BodyText2"/>
              <w:spacing w:line="276" w:lineRule="auto"/>
              <w:jc w:val="both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dz. nr </w:t>
            </w:r>
            <w:r>
              <w:rPr>
                <w:b/>
                <w:bCs/>
                <w:szCs w:val="22"/>
              </w:rPr>
              <w:t>522/6</w:t>
            </w:r>
          </w:p>
          <w:p w:rsidR="003522BA" w:rsidRPr="00001938" w:rsidRDefault="003522BA" w:rsidP="00D47180">
            <w:pPr>
              <w:pStyle w:val="BodyText2"/>
              <w:spacing w:line="276" w:lineRule="auto"/>
              <w:jc w:val="both"/>
              <w:rPr>
                <w:bCs/>
              </w:rPr>
            </w:pPr>
            <w:r w:rsidRPr="00001938">
              <w:rPr>
                <w:bCs/>
                <w:szCs w:val="22"/>
              </w:rPr>
              <w:t>Kw Nr GW1K</w:t>
            </w:r>
            <w:r>
              <w:rPr>
                <w:bCs/>
                <w:szCs w:val="22"/>
              </w:rPr>
              <w:t>/00024103/4</w:t>
            </w:r>
          </w:p>
        </w:tc>
        <w:tc>
          <w:tcPr>
            <w:tcW w:w="1559" w:type="dxa"/>
            <w:gridSpan w:val="2"/>
          </w:tcPr>
          <w:p w:rsidR="003522BA" w:rsidRDefault="003522BA" w:rsidP="00DA410D">
            <w:pPr>
              <w:pStyle w:val="BodyText2"/>
              <w:spacing w:line="276" w:lineRule="auto"/>
              <w:rPr>
                <w:b/>
                <w:bCs/>
              </w:rPr>
            </w:pPr>
          </w:p>
          <w:p w:rsidR="003522BA" w:rsidRDefault="003522BA" w:rsidP="00DA410D">
            <w:pPr>
              <w:pStyle w:val="BodyText2"/>
              <w:spacing w:line="276" w:lineRule="auto"/>
              <w:rPr>
                <w:b/>
                <w:bCs/>
              </w:rPr>
            </w:pPr>
          </w:p>
          <w:p w:rsidR="003522BA" w:rsidRPr="00001938" w:rsidRDefault="003522BA" w:rsidP="00DA410D">
            <w:pPr>
              <w:pStyle w:val="BodyText2"/>
              <w:spacing w:line="276" w:lineRule="auto"/>
              <w:rPr>
                <w:bCs/>
              </w:rPr>
            </w:pPr>
            <w:r>
              <w:rPr>
                <w:b/>
                <w:bCs/>
                <w:szCs w:val="22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,1882 ha"/>
              </w:smartTagPr>
              <w:r>
                <w:rPr>
                  <w:b/>
                  <w:bCs/>
                  <w:szCs w:val="22"/>
                </w:rPr>
                <w:t>1,1882 ha</w:t>
              </w:r>
            </w:smartTag>
          </w:p>
        </w:tc>
        <w:tc>
          <w:tcPr>
            <w:tcW w:w="2856" w:type="dxa"/>
          </w:tcPr>
          <w:p w:rsidR="003522BA" w:rsidRPr="003B4A18" w:rsidRDefault="003522BA" w:rsidP="00A029B6">
            <w:pPr>
              <w:pStyle w:val="BodyText2"/>
              <w:spacing w:line="276" w:lineRule="auto"/>
            </w:pPr>
            <w:r w:rsidRPr="003B4A18">
              <w:rPr>
                <w:szCs w:val="22"/>
              </w:rPr>
              <w:t>Nieruchomość niezabudowana, obejmująca gru</w:t>
            </w:r>
            <w:r>
              <w:rPr>
                <w:szCs w:val="22"/>
              </w:rPr>
              <w:t xml:space="preserve">nty rolne, sklasyfikowana jako </w:t>
            </w:r>
            <w:r w:rsidRPr="003B4A18">
              <w:rPr>
                <w:szCs w:val="22"/>
              </w:rPr>
              <w:t xml:space="preserve">PsIV –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3B4A18">
                <w:rPr>
                  <w:szCs w:val="22"/>
                </w:rPr>
                <w:t>0,4711 ha</w:t>
              </w:r>
            </w:smartTag>
            <w:r w:rsidRPr="003B4A18">
              <w:rPr>
                <w:szCs w:val="22"/>
              </w:rPr>
              <w:t xml:space="preserve"> oraz PsV  –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3B4A18">
                <w:rPr>
                  <w:szCs w:val="22"/>
                </w:rPr>
                <w:t>0,7171 ha</w:t>
              </w:r>
            </w:smartTag>
            <w:r w:rsidRPr="003B4A18">
              <w:rPr>
                <w:szCs w:val="22"/>
              </w:rPr>
              <w:t>, położona na południowym skraju obrębu Gościmiec</w:t>
            </w:r>
            <w:r>
              <w:rPr>
                <w:szCs w:val="22"/>
              </w:rPr>
              <w:t>,</w:t>
            </w:r>
            <w:r w:rsidRPr="003B4A18">
              <w:rPr>
                <w:szCs w:val="22"/>
              </w:rPr>
              <w:t xml:space="preserve"> będącym jednocześnie skrajem Gminy Zwierzyn dochodzącym do rzeki Noteć. Działka leży na skraju kompleksu gruntów rolnych</w:t>
            </w:r>
            <w:r>
              <w:t xml:space="preserve"> </w:t>
            </w:r>
            <w:r w:rsidRPr="003B4A18">
              <w:rPr>
                <w:szCs w:val="22"/>
              </w:rPr>
              <w:t>z</w:t>
            </w:r>
            <w:r>
              <w:rPr>
                <w:szCs w:val="22"/>
              </w:rPr>
              <w:t xml:space="preserve"> rozproszoną zabudową zagrodową. </w:t>
            </w:r>
            <w:r w:rsidRPr="003B4A18">
              <w:rPr>
                <w:szCs w:val="22"/>
              </w:rPr>
              <w:t>Kompleks w którym położona jest działka dochodzi do wału przeciwpowodziowego</w:t>
            </w:r>
            <w:r>
              <w:rPr>
                <w:szCs w:val="22"/>
              </w:rPr>
              <w:t xml:space="preserve"> rzeki Noteć</w:t>
            </w:r>
            <w:r w:rsidRPr="003B4A18">
              <w:rPr>
                <w:szCs w:val="22"/>
              </w:rPr>
              <w:t xml:space="preserve">, odległość od wału wynosi ok.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3B4A18">
                <w:rPr>
                  <w:szCs w:val="22"/>
                </w:rPr>
                <w:t>110</w:t>
              </w:r>
              <w:r>
                <w:rPr>
                  <w:szCs w:val="22"/>
                </w:rPr>
                <w:t xml:space="preserve"> </w:t>
              </w:r>
              <w:r w:rsidRPr="003B4A18">
                <w:rPr>
                  <w:szCs w:val="22"/>
                </w:rPr>
                <w:t>m</w:t>
              </w:r>
            </w:smartTag>
            <w:r w:rsidRPr="003B4A18">
              <w:rPr>
                <w:szCs w:val="22"/>
              </w:rPr>
              <w:t xml:space="preserve"> i ok.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3B4A18">
                <w:rPr>
                  <w:szCs w:val="22"/>
                </w:rPr>
                <w:t>260 m</w:t>
              </w:r>
            </w:smartTag>
            <w:r w:rsidRPr="003B4A18">
              <w:rPr>
                <w:szCs w:val="22"/>
              </w:rPr>
              <w:t xml:space="preserve"> od rzeki.</w:t>
            </w:r>
          </w:p>
          <w:p w:rsidR="003522BA" w:rsidRPr="00001938" w:rsidRDefault="003522BA" w:rsidP="002048AA">
            <w:pPr>
              <w:pStyle w:val="BodyText2"/>
              <w:spacing w:line="276" w:lineRule="auto"/>
            </w:pPr>
          </w:p>
        </w:tc>
        <w:tc>
          <w:tcPr>
            <w:tcW w:w="3202" w:type="dxa"/>
          </w:tcPr>
          <w:p w:rsidR="003522BA" w:rsidRDefault="003522BA" w:rsidP="00B9051E">
            <w:pPr>
              <w:pStyle w:val="BodyText2"/>
              <w:spacing w:line="276" w:lineRule="auto"/>
              <w:rPr>
                <w:sz w:val="20"/>
                <w:szCs w:val="20"/>
              </w:rPr>
            </w:pPr>
            <w:r w:rsidRPr="001C756A">
              <w:rPr>
                <w:sz w:val="20"/>
                <w:szCs w:val="20"/>
              </w:rPr>
              <w:t xml:space="preserve">Dla terenu, w którym położona jest wyceniona działka nie ma planu zagospodarowania przestrzennego. </w:t>
            </w:r>
          </w:p>
          <w:p w:rsidR="003522BA" w:rsidRPr="001C756A" w:rsidRDefault="003522BA" w:rsidP="00B9051E">
            <w:pPr>
              <w:pStyle w:val="BodyText2"/>
              <w:spacing w:line="276" w:lineRule="auto"/>
              <w:rPr>
                <w:sz w:val="20"/>
                <w:szCs w:val="20"/>
              </w:rPr>
            </w:pPr>
            <w:r w:rsidRPr="001C756A">
              <w:rPr>
                <w:sz w:val="20"/>
                <w:szCs w:val="20"/>
              </w:rPr>
              <w:t>W studium uwarunkowań i kierunków zagospodarowania przestrzennego gminy Zwierzyn</w:t>
            </w:r>
            <w:r>
              <w:rPr>
                <w:sz w:val="20"/>
                <w:szCs w:val="20"/>
              </w:rPr>
              <w:t xml:space="preserve">, obszar ma funkcję – tereny pastwisk, częściowo tereny zabudowy i tereny zurbanizowane. </w:t>
            </w:r>
            <w:r w:rsidRPr="001C756A">
              <w:rPr>
                <w:sz w:val="20"/>
                <w:szCs w:val="20"/>
              </w:rPr>
              <w:t xml:space="preserve">Działka położona jest na obszarze objętym siecią obszarową „Natura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1C756A">
                <w:rPr>
                  <w:sz w:val="20"/>
                  <w:szCs w:val="20"/>
                </w:rPr>
                <w:t>2000”</w:t>
              </w:r>
            </w:smartTag>
            <w:r w:rsidRPr="001C756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Sąsiedztwo działki stanowi pojedyncze siedlisko, grunty rolne, wśród których dominują użytki zielone oraz kanał melioracyjny wraz </w:t>
            </w:r>
            <w:r>
              <w:rPr>
                <w:sz w:val="20"/>
                <w:szCs w:val="20"/>
              </w:rPr>
              <w:br/>
              <w:t xml:space="preserve">z przepompownią. Dojazd do działki drogą gruntową, w odległości ok. </w:t>
            </w:r>
            <w:smartTag w:uri="urn:schemas-microsoft-com:office:smarttags" w:element="metricconverter">
              <w:smartTagPr>
                <w:attr w:name="ProductID" w:val="1,5 km"/>
              </w:smartTagPr>
              <w:r>
                <w:rPr>
                  <w:sz w:val="20"/>
                  <w:szCs w:val="20"/>
                </w:rPr>
                <w:t>1,5 km</w:t>
              </w:r>
            </w:smartTag>
            <w:r>
              <w:rPr>
                <w:sz w:val="20"/>
                <w:szCs w:val="20"/>
              </w:rPr>
              <w:t xml:space="preserve"> droga o nawierzchni bitumicznej. Nad północno – wschodnim narożnikiem działki biegnie napowietrzna linia elektroenergetyczna średniego napięcia. </w:t>
            </w:r>
          </w:p>
        </w:tc>
        <w:tc>
          <w:tcPr>
            <w:tcW w:w="1640" w:type="dxa"/>
          </w:tcPr>
          <w:p w:rsidR="003522BA" w:rsidRPr="00001938" w:rsidRDefault="003522BA" w:rsidP="007F0152">
            <w:pPr>
              <w:pStyle w:val="BodyText2"/>
              <w:spacing w:line="276" w:lineRule="auto"/>
              <w:jc w:val="both"/>
            </w:pPr>
          </w:p>
          <w:p w:rsidR="003522BA" w:rsidRDefault="003522BA" w:rsidP="007823A2">
            <w:pPr>
              <w:pStyle w:val="BodyText2"/>
              <w:spacing w:line="276" w:lineRule="auto"/>
              <w:jc w:val="center"/>
              <w:rPr>
                <w:b/>
              </w:rPr>
            </w:pPr>
          </w:p>
          <w:p w:rsidR="003522BA" w:rsidRPr="008B3C8D" w:rsidRDefault="003522BA" w:rsidP="007823A2">
            <w:pPr>
              <w:pStyle w:val="BodyText2"/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22.22</w:t>
            </w:r>
            <w:r w:rsidRPr="008B3C8D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,00</w:t>
            </w:r>
            <w:r w:rsidRPr="008B3C8D">
              <w:rPr>
                <w:b/>
                <w:szCs w:val="22"/>
              </w:rPr>
              <w:t xml:space="preserve"> zł</w:t>
            </w:r>
          </w:p>
        </w:tc>
        <w:tc>
          <w:tcPr>
            <w:tcW w:w="2066" w:type="dxa"/>
          </w:tcPr>
          <w:p w:rsidR="003522BA" w:rsidRPr="00001938" w:rsidRDefault="003522BA" w:rsidP="00563925">
            <w:pPr>
              <w:pStyle w:val="BodyText2"/>
              <w:spacing w:line="276" w:lineRule="auto"/>
            </w:pPr>
            <w:r w:rsidRPr="00001938">
              <w:rPr>
                <w:szCs w:val="22"/>
              </w:rPr>
              <w:t xml:space="preserve">do sprzedaży </w:t>
            </w:r>
            <w:r>
              <w:rPr>
                <w:szCs w:val="22"/>
              </w:rPr>
              <w:br/>
            </w:r>
            <w:r w:rsidRPr="00001938">
              <w:rPr>
                <w:szCs w:val="22"/>
              </w:rPr>
              <w:t xml:space="preserve">w drodze przetargu </w:t>
            </w:r>
            <w:r>
              <w:rPr>
                <w:szCs w:val="22"/>
              </w:rPr>
              <w:t xml:space="preserve">ustnego </w:t>
            </w:r>
            <w:r w:rsidRPr="00001938">
              <w:rPr>
                <w:szCs w:val="22"/>
              </w:rPr>
              <w:t>nieograniczonego</w:t>
            </w:r>
          </w:p>
          <w:p w:rsidR="003522BA" w:rsidRPr="00001938" w:rsidRDefault="003522BA" w:rsidP="007F0152">
            <w:pPr>
              <w:pStyle w:val="BodyText2"/>
              <w:spacing w:line="276" w:lineRule="auto"/>
              <w:jc w:val="both"/>
            </w:pPr>
          </w:p>
        </w:tc>
      </w:tr>
    </w:tbl>
    <w:p w:rsidR="003522BA" w:rsidRPr="005F01C5" w:rsidRDefault="003522BA" w:rsidP="00C30808">
      <w:pPr>
        <w:pStyle w:val="BodyText"/>
        <w:jc w:val="both"/>
        <w:rPr>
          <w:b w:val="0"/>
          <w:sz w:val="20"/>
        </w:rPr>
      </w:pPr>
      <w:r w:rsidRPr="005F01C5">
        <w:rPr>
          <w:b w:val="0"/>
          <w:sz w:val="20"/>
        </w:rPr>
        <w:t>Osoby, którym przysługuje pierwszeństwo w nabyciu nieruchomości na podstawie art. 34 ust. 1 pkt 1 i 2 ustawy z dnia 21.08. 1997 r. o gospodarce nieruchomościami (tekst jedn. Dz. U. z 2016r.,  poz. 2147  z późn. zm.) winny złożyć wnioski w terminie nieprzekraczającym  6 (sześć) tygodni licząc od dnia wywieszenia wykazu.</w:t>
      </w:r>
    </w:p>
    <w:p w:rsidR="003522BA" w:rsidRPr="00A7559D" w:rsidRDefault="003522BA" w:rsidP="00001938">
      <w:pPr>
        <w:pStyle w:val="BodyText"/>
        <w:jc w:val="left"/>
        <w:rPr>
          <w:b w:val="0"/>
          <w:sz w:val="20"/>
        </w:rPr>
      </w:pPr>
      <w:r w:rsidRPr="005F01C5">
        <w:rPr>
          <w:b w:val="0"/>
          <w:sz w:val="20"/>
        </w:rPr>
        <w:t>Niniejszy wykaz wywiesza się na tablicy ogłoszeń Starostwa Powiatowego w Strzelcach Kraj., ul. Ks. St. Wyszyńskiego 7</w:t>
      </w:r>
      <w:r>
        <w:rPr>
          <w:b w:val="0"/>
          <w:sz w:val="20"/>
        </w:rPr>
        <w:t>, na okres 21 dni w</w:t>
      </w:r>
      <w:r w:rsidRPr="00A7559D">
        <w:rPr>
          <w:b w:val="0"/>
          <w:sz w:val="20"/>
        </w:rPr>
        <w:t xml:space="preserve"> prasie lokalnej</w:t>
      </w:r>
      <w:r>
        <w:rPr>
          <w:b w:val="0"/>
          <w:sz w:val="20"/>
        </w:rPr>
        <w:t>:</w:t>
      </w:r>
      <w:r w:rsidRPr="00A7559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„Ziemia Strzelecka” Dwutygodnik Samorządu Miasta i Gminy Strzelce Krajeńskie </w:t>
      </w:r>
      <w:r w:rsidRPr="005F01C5">
        <w:rPr>
          <w:b w:val="0"/>
          <w:sz w:val="20"/>
        </w:rPr>
        <w:t xml:space="preserve">oraz na </w:t>
      </w:r>
      <w:r w:rsidRPr="00A7559D">
        <w:rPr>
          <w:b w:val="0"/>
          <w:sz w:val="20"/>
        </w:rPr>
        <w:t xml:space="preserve">stronie internetowej pod adresem  </w:t>
      </w:r>
      <w:hyperlink r:id="rId4" w:history="1">
        <w:r w:rsidRPr="00A7559D">
          <w:rPr>
            <w:rStyle w:val="Hyperlink"/>
            <w:b w:val="0"/>
            <w:color w:val="auto"/>
            <w:sz w:val="20"/>
            <w:u w:val="none"/>
          </w:rPr>
          <w:t>www.bip.fsd.pl</w:t>
        </w:r>
      </w:hyperlink>
      <w:r w:rsidRPr="00A7559D">
        <w:rPr>
          <w:b w:val="0"/>
          <w:sz w:val="20"/>
        </w:rPr>
        <w:t xml:space="preserve">  </w:t>
      </w:r>
    </w:p>
    <w:p w:rsidR="003522BA" w:rsidRDefault="003522BA" w:rsidP="00A7559D">
      <w:pPr>
        <w:pStyle w:val="BodyText"/>
        <w:tabs>
          <w:tab w:val="left" w:pos="11565"/>
        </w:tabs>
        <w:jc w:val="left"/>
        <w:rPr>
          <w:b w:val="0"/>
          <w:sz w:val="20"/>
        </w:rPr>
      </w:pPr>
    </w:p>
    <w:p w:rsidR="003522BA" w:rsidRDefault="003522BA" w:rsidP="00A7559D">
      <w:pPr>
        <w:pStyle w:val="BodyText"/>
        <w:tabs>
          <w:tab w:val="left" w:pos="11565"/>
        </w:tabs>
        <w:jc w:val="left"/>
        <w:rPr>
          <w:b w:val="0"/>
          <w:sz w:val="20"/>
        </w:rPr>
      </w:pPr>
    </w:p>
    <w:p w:rsidR="003522BA" w:rsidRDefault="003522BA" w:rsidP="00A7559D">
      <w:pPr>
        <w:pStyle w:val="BodyText"/>
        <w:tabs>
          <w:tab w:val="left" w:pos="11565"/>
        </w:tabs>
        <w:jc w:val="left"/>
        <w:rPr>
          <w:b w:val="0"/>
          <w:sz w:val="20"/>
        </w:rPr>
      </w:pPr>
      <w:r>
        <w:rPr>
          <w:b w:val="0"/>
          <w:sz w:val="20"/>
        </w:rPr>
        <w:t>Wywieszono, dnia 02.02.2017r.</w:t>
      </w:r>
    </w:p>
    <w:p w:rsidR="003522BA" w:rsidRPr="005F01C5" w:rsidRDefault="003522BA" w:rsidP="00A7559D">
      <w:pPr>
        <w:pStyle w:val="BodyText"/>
        <w:tabs>
          <w:tab w:val="left" w:pos="11565"/>
        </w:tabs>
        <w:jc w:val="left"/>
        <w:rPr>
          <w:b w:val="0"/>
          <w:sz w:val="20"/>
        </w:rPr>
      </w:pPr>
      <w:r>
        <w:rPr>
          <w:b w:val="0"/>
          <w:sz w:val="20"/>
        </w:rPr>
        <w:t>Zdjęto, dnia………………</w:t>
      </w:r>
      <w:r>
        <w:rPr>
          <w:b w:val="0"/>
          <w:sz w:val="20"/>
        </w:rPr>
        <w:tab/>
      </w: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Default="003522BA" w:rsidP="00001938">
      <w:pPr>
        <w:pStyle w:val="BodyText"/>
        <w:jc w:val="left"/>
        <w:rPr>
          <w:b w:val="0"/>
          <w:sz w:val="22"/>
          <w:szCs w:val="22"/>
        </w:rPr>
      </w:pPr>
    </w:p>
    <w:p w:rsidR="003522BA" w:rsidRPr="00001938" w:rsidRDefault="003522BA">
      <w:pPr>
        <w:rPr>
          <w:sz w:val="22"/>
          <w:szCs w:val="22"/>
        </w:rPr>
      </w:pPr>
    </w:p>
    <w:sectPr w:rsidR="003522BA" w:rsidRPr="00001938" w:rsidSect="0000193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B4"/>
    <w:rsid w:val="00001938"/>
    <w:rsid w:val="00076215"/>
    <w:rsid w:val="000E0AD7"/>
    <w:rsid w:val="000E700F"/>
    <w:rsid w:val="00110ABC"/>
    <w:rsid w:val="001407DD"/>
    <w:rsid w:val="001C756A"/>
    <w:rsid w:val="00200CA7"/>
    <w:rsid w:val="002048AA"/>
    <w:rsid w:val="00217E73"/>
    <w:rsid w:val="00223AD6"/>
    <w:rsid w:val="002665D1"/>
    <w:rsid w:val="00267D9C"/>
    <w:rsid w:val="002D341C"/>
    <w:rsid w:val="003522BA"/>
    <w:rsid w:val="003B26D9"/>
    <w:rsid w:val="003B4A18"/>
    <w:rsid w:val="00410084"/>
    <w:rsid w:val="0048341A"/>
    <w:rsid w:val="004B33DF"/>
    <w:rsid w:val="004B7709"/>
    <w:rsid w:val="0052187D"/>
    <w:rsid w:val="00563925"/>
    <w:rsid w:val="00570088"/>
    <w:rsid w:val="00593BC8"/>
    <w:rsid w:val="005D6D27"/>
    <w:rsid w:val="005F01C5"/>
    <w:rsid w:val="00687D3A"/>
    <w:rsid w:val="006E0F30"/>
    <w:rsid w:val="0070679E"/>
    <w:rsid w:val="007213CC"/>
    <w:rsid w:val="00722659"/>
    <w:rsid w:val="00764B7B"/>
    <w:rsid w:val="00764E3C"/>
    <w:rsid w:val="007823A2"/>
    <w:rsid w:val="0079110C"/>
    <w:rsid w:val="007F0152"/>
    <w:rsid w:val="007F2B34"/>
    <w:rsid w:val="00813EAA"/>
    <w:rsid w:val="00826103"/>
    <w:rsid w:val="008953BD"/>
    <w:rsid w:val="008B2579"/>
    <w:rsid w:val="008B3C8D"/>
    <w:rsid w:val="008C691F"/>
    <w:rsid w:val="008C6AED"/>
    <w:rsid w:val="008E0E18"/>
    <w:rsid w:val="008E35AD"/>
    <w:rsid w:val="008F2F7C"/>
    <w:rsid w:val="009367B4"/>
    <w:rsid w:val="00950FFE"/>
    <w:rsid w:val="00984C43"/>
    <w:rsid w:val="00987008"/>
    <w:rsid w:val="009D3DF5"/>
    <w:rsid w:val="009F2A99"/>
    <w:rsid w:val="009F6903"/>
    <w:rsid w:val="00A029B6"/>
    <w:rsid w:val="00A12091"/>
    <w:rsid w:val="00A532E3"/>
    <w:rsid w:val="00A57B36"/>
    <w:rsid w:val="00A62DE2"/>
    <w:rsid w:val="00A7559D"/>
    <w:rsid w:val="00A82884"/>
    <w:rsid w:val="00AB118C"/>
    <w:rsid w:val="00AD5EDD"/>
    <w:rsid w:val="00AF4871"/>
    <w:rsid w:val="00B01A76"/>
    <w:rsid w:val="00B347E8"/>
    <w:rsid w:val="00B45A93"/>
    <w:rsid w:val="00B9051E"/>
    <w:rsid w:val="00BA580E"/>
    <w:rsid w:val="00BE100F"/>
    <w:rsid w:val="00BF06A5"/>
    <w:rsid w:val="00C02EAC"/>
    <w:rsid w:val="00C05C60"/>
    <w:rsid w:val="00C06A28"/>
    <w:rsid w:val="00C257CA"/>
    <w:rsid w:val="00C30808"/>
    <w:rsid w:val="00C7400A"/>
    <w:rsid w:val="00CE4E56"/>
    <w:rsid w:val="00D47180"/>
    <w:rsid w:val="00D84995"/>
    <w:rsid w:val="00D90735"/>
    <w:rsid w:val="00D96EC1"/>
    <w:rsid w:val="00DA1AD3"/>
    <w:rsid w:val="00DA296E"/>
    <w:rsid w:val="00DA410D"/>
    <w:rsid w:val="00DA4555"/>
    <w:rsid w:val="00E03E0B"/>
    <w:rsid w:val="00E11F7A"/>
    <w:rsid w:val="00E1616B"/>
    <w:rsid w:val="00E17E0F"/>
    <w:rsid w:val="00E5375D"/>
    <w:rsid w:val="00E7776B"/>
    <w:rsid w:val="00EB49B3"/>
    <w:rsid w:val="00EB639B"/>
    <w:rsid w:val="00F52AE7"/>
    <w:rsid w:val="00FA7192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67B4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7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9367B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67B4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F01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fs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1494</TotalTime>
  <Pages>2</Pages>
  <Words>400</Words>
  <Characters>2404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Patrycja Rybacka</cp:lastModifiedBy>
  <cp:revision>36</cp:revision>
  <cp:lastPrinted>2017-01-30T08:08:00Z</cp:lastPrinted>
  <dcterms:created xsi:type="dcterms:W3CDTF">2015-08-20T08:51:00Z</dcterms:created>
  <dcterms:modified xsi:type="dcterms:W3CDTF">2017-02-01T12:30:00Z</dcterms:modified>
</cp:coreProperties>
</file>